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60" w:rsidRPr="00144260" w:rsidRDefault="00144260" w:rsidP="0014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1442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Литературный калейдоскоп «Под чистым небом Рождества»</w:t>
      </w:r>
    </w:p>
    <w:p w:rsidR="00144260" w:rsidRPr="00144260" w:rsidRDefault="00144260" w:rsidP="00144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4260" w:rsidRPr="00144260" w:rsidRDefault="00144260" w:rsidP="0014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260">
        <w:rPr>
          <w:rFonts w:ascii="Times New Roman" w:eastAsia="Times New Roman" w:hAnsi="Times New Roman" w:cs="Times New Roman"/>
          <w:sz w:val="28"/>
          <w:szCs w:val="28"/>
          <w:lang w:eastAsia="ru-RU"/>
        </w:rPr>
        <w:t>6 января в детской библиотеке прошёл литературный калейдоскоп «Под чистым небом Рождества». Библиотекарь познакомила детей с историей праздника Рождества Христова, уделяя особое внимание знакомству с литературными произведениями о старинных традициях и современных обычаях этого праздника. Были представлены такие произведения: Ф. М. Достоевского «Мальчик у Христа на ёлке», Н. В. Гоголя «Ночь перед Рождеством», Э. Т. А. Гофмана «Щелкунчик, или Мышиный король», Л. Н Андреева «Ангелочек» и другие. Эти рассказы о чудесах, доброте, искренней вере, тепле и особом рождественском волшебстве.</w:t>
      </w:r>
    </w:p>
    <w:p w:rsidR="00144260" w:rsidRPr="00144260" w:rsidRDefault="00144260" w:rsidP="0014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2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узнали, что в древности святки отмечали все, особенно молодежь: играли, исполняли песни и собирались на посиделках. В этот период люди посещали друг друга, веселились у ёлки с ряжеными и водили хороводы.</w:t>
      </w:r>
    </w:p>
    <w:p w:rsidR="00144260" w:rsidRDefault="00144260" w:rsidP="0014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2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встречи ребятам предложили рождественскую развлекательную программу.</w:t>
      </w:r>
      <w:r w:rsidRPr="00144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4426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 обратила внимание юных посетителей на то, что в праздничные дни Рождества необходимо проявлять милосердие и оказывать помощь нуждающимся.</w:t>
      </w:r>
    </w:p>
    <w:p w:rsidR="00144260" w:rsidRPr="00144260" w:rsidRDefault="00144260" w:rsidP="00144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E5008" w:rsidRDefault="00144260">
      <w:r>
        <w:rPr>
          <w:noProof/>
          <w:lang w:eastAsia="ru-RU"/>
        </w:rPr>
        <w:drawing>
          <wp:inline distT="0" distB="0" distL="0" distR="0" wp14:anchorId="622628FB" wp14:editId="6CFF010B">
            <wp:extent cx="5940425" cy="2672715"/>
            <wp:effectExtent l="0" t="0" r="3175" b="0"/>
            <wp:docPr id="1" name="Рисунок 1" descr="https://sun9-71.userapi.com/impg/7oZAmMS08Vzl6tz27sY1uHAFuZiXc-fVFoDtCg/YVYBIN8K0yg.jpg?size=1280x576&amp;quality=95&amp;sign=2f046b4174c40a541a01f19d428731b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1.userapi.com/impg/7oZAmMS08Vzl6tz27sY1uHAFuZiXc-fVFoDtCg/YVYBIN8K0yg.jpg?size=1280x576&amp;quality=95&amp;sign=2f046b4174c40a541a01f19d428731be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60" w:rsidRDefault="00144260">
      <w:r>
        <w:rPr>
          <w:noProof/>
          <w:lang w:eastAsia="ru-RU"/>
        </w:rPr>
        <w:lastRenderedPageBreak/>
        <w:drawing>
          <wp:inline distT="0" distB="0" distL="0" distR="0" wp14:anchorId="65E53756" wp14:editId="2588C87E">
            <wp:extent cx="5940425" cy="3253311"/>
            <wp:effectExtent l="0" t="0" r="3175" b="4445"/>
            <wp:docPr id="2" name="Рисунок 2" descr="https://sun9-62.userapi.com/impg/LviS7x247DdGRy1Tv5I6J85gWq6ws54_6SiQxQ/2QuDMkQJdJc.jpg?size=1280x701&amp;quality=95&amp;sign=cda7d2be24e4d2930fb29edb16d5547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2.userapi.com/impg/LviS7x247DdGRy1Tv5I6J85gWq6ws54_6SiQxQ/2QuDMkQJdJc.jpg?size=1280x701&amp;quality=95&amp;sign=cda7d2be24e4d2930fb29edb16d5547e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4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F1"/>
    <w:rsid w:val="00144260"/>
    <w:rsid w:val="006E5008"/>
    <w:rsid w:val="007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8B01C-29EE-44BD-B559-6921F08C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0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2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69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2025-01-09T12:29:00Z</dcterms:created>
  <dcterms:modified xsi:type="dcterms:W3CDTF">2025-01-09T12:31:00Z</dcterms:modified>
</cp:coreProperties>
</file>